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48" w:type="dxa"/>
        <w:tblLook w:val="0000" w:firstRow="0" w:lastRow="0" w:firstColumn="0" w:lastColumn="0" w:noHBand="0" w:noVBand="0"/>
      </w:tblPr>
      <w:tblGrid>
        <w:gridCol w:w="948"/>
        <w:gridCol w:w="6360"/>
        <w:gridCol w:w="1740"/>
      </w:tblGrid>
      <w:tr w:rsidR="001F54C2" w14:paraId="6B5278B6" w14:textId="77777777" w:rsidTr="0023648F">
        <w:tc>
          <w:tcPr>
            <w:tcW w:w="948" w:type="dxa"/>
          </w:tcPr>
          <w:p w14:paraId="5B3F0353" w14:textId="77777777" w:rsidR="001F54C2" w:rsidRDefault="001F54C2" w:rsidP="0023648F">
            <w:pPr>
              <w:jc w:val="center"/>
              <w:rPr>
                <w:rFonts w:ascii="Arial Mäori" w:hAnsi="Arial Mäori" w:cs="Arial Mäori"/>
                <w:bCs/>
                <w:color w:val="000000"/>
              </w:rPr>
            </w:pPr>
            <w:bookmarkStart w:id="0" w:name="_GoBack"/>
            <w:bookmarkEnd w:id="0"/>
          </w:p>
        </w:tc>
        <w:tc>
          <w:tcPr>
            <w:tcW w:w="6360" w:type="dxa"/>
          </w:tcPr>
          <w:p w14:paraId="1B6F7E5E" w14:textId="77777777" w:rsidR="001F54C2" w:rsidRPr="00C02B71" w:rsidRDefault="001F54C2" w:rsidP="001F54C2">
            <w:pPr>
              <w:pStyle w:val="Heading6"/>
              <w:spacing w:before="0"/>
              <w:rPr>
                <w:u w:val="single"/>
              </w:rPr>
            </w:pPr>
            <w:r w:rsidRPr="00C02B71">
              <w:rPr>
                <w:u w:val="single"/>
              </w:rPr>
              <w:t>CANON IX</w:t>
            </w:r>
          </w:p>
          <w:p w14:paraId="1F4F8F40" w14:textId="77777777" w:rsidR="001F54C2" w:rsidRPr="00C02B71" w:rsidRDefault="001F54C2" w:rsidP="001F54C2">
            <w:pPr>
              <w:jc w:val="center"/>
              <w:rPr>
                <w:rFonts w:cs="Arial"/>
                <w:b/>
                <w:u w:val="single"/>
              </w:rPr>
            </w:pPr>
            <w:r w:rsidRPr="00C02B71">
              <w:rPr>
                <w:rFonts w:ascii="Arial Mäori" w:hAnsi="Arial Mäori" w:cs="Arial Mäori"/>
                <w:b/>
                <w:color w:val="000000"/>
                <w:sz w:val="24"/>
                <w:u w:val="single"/>
              </w:rPr>
              <w:t xml:space="preserve">CHARITIES ACT REQUIREMENTS </w:t>
            </w:r>
          </w:p>
          <w:p w14:paraId="4A375F71" w14:textId="77777777" w:rsidR="001F54C2" w:rsidRDefault="001F54C2" w:rsidP="0023648F">
            <w:pPr>
              <w:pStyle w:val="Header"/>
              <w:tabs>
                <w:tab w:val="clear" w:pos="4153"/>
                <w:tab w:val="clear" w:pos="8306"/>
              </w:tabs>
            </w:pPr>
          </w:p>
        </w:tc>
        <w:tc>
          <w:tcPr>
            <w:tcW w:w="1740" w:type="dxa"/>
          </w:tcPr>
          <w:p w14:paraId="4955600C" w14:textId="77777777" w:rsidR="001F54C2" w:rsidRDefault="001F54C2" w:rsidP="0023648F">
            <w:pPr>
              <w:jc w:val="left"/>
              <w:rPr>
                <w:rFonts w:ascii="Arial Mäori" w:hAnsi="Arial Mäori" w:cs="Arial Mäori"/>
                <w:bCs/>
                <w:i/>
                <w:iCs/>
                <w:color w:val="000000"/>
                <w:sz w:val="18"/>
              </w:rPr>
            </w:pPr>
          </w:p>
        </w:tc>
      </w:tr>
      <w:tr w:rsidR="001F54C2" w14:paraId="4E07C8B2" w14:textId="77777777" w:rsidTr="0023648F">
        <w:tc>
          <w:tcPr>
            <w:tcW w:w="948" w:type="dxa"/>
          </w:tcPr>
          <w:p w14:paraId="55EDBB7A" w14:textId="77777777" w:rsidR="001F54C2" w:rsidRDefault="001F54C2" w:rsidP="001F54C2">
            <w:pPr>
              <w:jc w:val="left"/>
              <w:rPr>
                <w:rFonts w:ascii="Arial Mäori" w:hAnsi="Arial Mäori" w:cs="Arial Mäori"/>
                <w:bCs/>
                <w:color w:val="000000"/>
              </w:rPr>
            </w:pPr>
            <w:r>
              <w:rPr>
                <w:rFonts w:ascii="Arial Mäori" w:hAnsi="Arial Mäori" w:cs="Arial Mäori"/>
                <w:bCs/>
                <w:color w:val="000000"/>
              </w:rPr>
              <w:t>1.</w:t>
            </w:r>
          </w:p>
        </w:tc>
        <w:tc>
          <w:tcPr>
            <w:tcW w:w="6360" w:type="dxa"/>
          </w:tcPr>
          <w:p w14:paraId="1C3E1DC0" w14:textId="77777777" w:rsidR="001F54C2" w:rsidRDefault="001F54C2" w:rsidP="0023648F">
            <w:pPr>
              <w:pStyle w:val="Header"/>
              <w:tabs>
                <w:tab w:val="clear" w:pos="4153"/>
                <w:tab w:val="clear" w:pos="8306"/>
              </w:tabs>
            </w:pPr>
            <w:r>
              <w:rPr>
                <w:rFonts w:cs="Arial"/>
                <w:b/>
                <w:sz w:val="22"/>
                <w:szCs w:val="22"/>
              </w:rPr>
              <w:t>Application of Canon.</w:t>
            </w:r>
            <w:r w:rsidRPr="001F0F37">
              <w:rPr>
                <w:rFonts w:cs="Arial"/>
                <w:b/>
                <w:sz w:val="22"/>
                <w:szCs w:val="22"/>
              </w:rPr>
              <w:t xml:space="preserve"> </w:t>
            </w:r>
            <w:r>
              <w:rPr>
                <w:rFonts w:cs="Arial"/>
                <w:b/>
                <w:sz w:val="22"/>
                <w:szCs w:val="22"/>
              </w:rPr>
              <w:t xml:space="preserve"> </w:t>
            </w:r>
            <w:r w:rsidRPr="001F0F37">
              <w:rPr>
                <w:rFonts w:cs="Arial"/>
                <w:sz w:val="22"/>
                <w:szCs w:val="22"/>
              </w:rPr>
              <w:t xml:space="preserve">This Canon applies to all properties, </w:t>
            </w:r>
            <w:r>
              <w:rPr>
                <w:rFonts w:cs="Arial"/>
                <w:sz w:val="22"/>
                <w:szCs w:val="22"/>
              </w:rPr>
              <w:t xml:space="preserve">     funds or </w:t>
            </w:r>
            <w:r w:rsidRPr="001F0F37">
              <w:rPr>
                <w:rFonts w:cs="Arial"/>
                <w:sz w:val="22"/>
                <w:szCs w:val="22"/>
              </w:rPr>
              <w:t xml:space="preserve">other assets held under the authority of General Synod /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bCs/>
                <w:sz w:val="22"/>
                <w:szCs w:val="22"/>
              </w:rPr>
              <w:t>Hīnota</w:t>
            </w:r>
            <w:proofErr w:type="spellEnd"/>
            <w:r w:rsidRPr="001F0F37">
              <w:rPr>
                <w:rFonts w:cs="Arial"/>
                <w:bCs/>
                <w:sz w:val="22"/>
                <w:szCs w:val="22"/>
              </w:rPr>
              <w:t xml:space="preserve"> </w:t>
            </w:r>
            <w:proofErr w:type="spellStart"/>
            <w:r w:rsidRPr="001F0F37">
              <w:rPr>
                <w:rFonts w:cs="Arial"/>
                <w:bCs/>
                <w:sz w:val="22"/>
                <w:szCs w:val="22"/>
              </w:rPr>
              <w:t>Whānui</w:t>
            </w:r>
            <w:proofErr w:type="spellEnd"/>
            <w:r w:rsidRPr="001F0F37">
              <w:rPr>
                <w:rFonts w:cs="Arial"/>
                <w:bCs/>
                <w:sz w:val="22"/>
                <w:szCs w:val="22"/>
              </w:rPr>
              <w:t xml:space="preserve"> </w:t>
            </w:r>
            <w:r w:rsidRPr="001F0F37">
              <w:rPr>
                <w:rFonts w:cs="Arial"/>
                <w:sz w:val="22"/>
                <w:szCs w:val="22"/>
              </w:rPr>
              <w:t xml:space="preserve">(including the Dioceses,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sz w:val="22"/>
                <w:szCs w:val="22"/>
              </w:rPr>
              <w:t>Runanganui</w:t>
            </w:r>
            <w:proofErr w:type="spellEnd"/>
            <w:r w:rsidRPr="001F0F37">
              <w:rPr>
                <w:rFonts w:cs="Arial"/>
                <w:sz w:val="22"/>
                <w:szCs w:val="22"/>
              </w:rPr>
              <w:t xml:space="preserve"> and </w:t>
            </w:r>
            <w:proofErr w:type="spellStart"/>
            <w:r w:rsidRPr="001F0F37">
              <w:rPr>
                <w:rFonts w:cs="Arial"/>
                <w:sz w:val="22"/>
                <w:szCs w:val="22"/>
              </w:rPr>
              <w:t>ng</w:t>
            </w:r>
            <w:r>
              <w:rPr>
                <w:rFonts w:cs="Arial"/>
                <w:sz w:val="22"/>
                <w:szCs w:val="22"/>
              </w:rPr>
              <w:t>ā</w:t>
            </w:r>
            <w:proofErr w:type="spellEnd"/>
            <w:r w:rsidRPr="001F0F37">
              <w:rPr>
                <w:rFonts w:cs="Arial"/>
                <w:sz w:val="22"/>
                <w:szCs w:val="22"/>
              </w:rPr>
              <w:t xml:space="preserve"> </w:t>
            </w:r>
            <w:proofErr w:type="spellStart"/>
            <w:r w:rsidRPr="001F0F37">
              <w:rPr>
                <w:rFonts w:cs="Arial"/>
                <w:sz w:val="22"/>
                <w:szCs w:val="22"/>
              </w:rPr>
              <w:t>Hui</w:t>
            </w:r>
            <w:proofErr w:type="spellEnd"/>
            <w:r w:rsidRPr="001F0F37">
              <w:rPr>
                <w:rFonts w:cs="Arial"/>
                <w:sz w:val="22"/>
                <w:szCs w:val="22"/>
              </w:rPr>
              <w:t xml:space="preserve"> </w:t>
            </w:r>
            <w:proofErr w:type="spellStart"/>
            <w:r w:rsidRPr="001F0F37">
              <w:rPr>
                <w:rFonts w:cs="Arial"/>
                <w:sz w:val="22"/>
                <w:szCs w:val="22"/>
              </w:rPr>
              <w:t>Amorangi</w:t>
            </w:r>
            <w:proofErr w:type="spellEnd"/>
            <w:r w:rsidRPr="001F0F37">
              <w:rPr>
                <w:rFonts w:cs="Arial"/>
                <w:sz w:val="22"/>
                <w:szCs w:val="22"/>
              </w:rPr>
              <w:t xml:space="preserve">) that are governed by the New Zealand law; and to all office holders under the authority of General Synod /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bCs/>
                <w:sz w:val="22"/>
                <w:szCs w:val="22"/>
              </w:rPr>
              <w:t>Hīnota</w:t>
            </w:r>
            <w:proofErr w:type="spellEnd"/>
            <w:r w:rsidRPr="001F0F37">
              <w:rPr>
                <w:rFonts w:cs="Arial"/>
                <w:bCs/>
                <w:sz w:val="22"/>
                <w:szCs w:val="22"/>
              </w:rPr>
              <w:t xml:space="preserve"> </w:t>
            </w:r>
            <w:proofErr w:type="spellStart"/>
            <w:r w:rsidRPr="001F0F37">
              <w:rPr>
                <w:rFonts w:cs="Arial"/>
                <w:bCs/>
                <w:sz w:val="22"/>
                <w:szCs w:val="22"/>
              </w:rPr>
              <w:t>Whānui</w:t>
            </w:r>
            <w:proofErr w:type="spellEnd"/>
            <w:r w:rsidRPr="001F0F37">
              <w:rPr>
                <w:rFonts w:cs="Arial"/>
                <w:bCs/>
                <w:sz w:val="22"/>
                <w:szCs w:val="22"/>
              </w:rPr>
              <w:t xml:space="preserve"> </w:t>
            </w:r>
            <w:r w:rsidRPr="001F0F37">
              <w:rPr>
                <w:rFonts w:cs="Arial"/>
                <w:sz w:val="22"/>
                <w:szCs w:val="22"/>
              </w:rPr>
              <w:t xml:space="preserve">who are required by Part C, Clause 15 of the Constitution /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sz w:val="22"/>
                <w:szCs w:val="22"/>
              </w:rPr>
              <w:t>Pouhere</w:t>
            </w:r>
            <w:proofErr w:type="spellEnd"/>
            <w:r w:rsidRPr="001F0F37">
              <w:rPr>
                <w:rFonts w:cs="Arial"/>
                <w:sz w:val="22"/>
                <w:szCs w:val="22"/>
              </w:rPr>
              <w:t xml:space="preserve"> to sign a declaration of allegiance and submission to the authority of General Synod</w:t>
            </w:r>
          </w:p>
        </w:tc>
        <w:tc>
          <w:tcPr>
            <w:tcW w:w="1740" w:type="dxa"/>
          </w:tcPr>
          <w:p w14:paraId="16080DD8" w14:textId="77777777" w:rsidR="001F54C2" w:rsidRDefault="001F54C2" w:rsidP="0023648F">
            <w:pPr>
              <w:jc w:val="left"/>
              <w:rPr>
                <w:rFonts w:ascii="Arial Mäori" w:hAnsi="Arial Mäori" w:cs="Arial Mäori"/>
                <w:bCs/>
                <w:i/>
                <w:iCs/>
                <w:color w:val="000000"/>
                <w:sz w:val="18"/>
              </w:rPr>
            </w:pPr>
          </w:p>
        </w:tc>
      </w:tr>
      <w:tr w:rsidR="001F54C2" w14:paraId="37BF1F33" w14:textId="77777777" w:rsidTr="0023648F">
        <w:tc>
          <w:tcPr>
            <w:tcW w:w="948" w:type="dxa"/>
          </w:tcPr>
          <w:p w14:paraId="1BAB3B78" w14:textId="77777777" w:rsidR="001F54C2" w:rsidRDefault="001F54C2" w:rsidP="001F54C2">
            <w:pPr>
              <w:jc w:val="left"/>
              <w:rPr>
                <w:rFonts w:ascii="Arial Mäori" w:hAnsi="Arial Mäori" w:cs="Arial Mäori"/>
                <w:bCs/>
                <w:color w:val="000000"/>
              </w:rPr>
            </w:pPr>
            <w:r>
              <w:rPr>
                <w:rFonts w:ascii="Arial Mäori" w:hAnsi="Arial Mäori" w:cs="Arial Mäori"/>
                <w:bCs/>
                <w:color w:val="000000"/>
              </w:rPr>
              <w:t>2.</w:t>
            </w:r>
          </w:p>
        </w:tc>
        <w:tc>
          <w:tcPr>
            <w:tcW w:w="6360" w:type="dxa"/>
          </w:tcPr>
          <w:p w14:paraId="1315262A" w14:textId="77777777" w:rsidR="001F54C2" w:rsidRDefault="001F54C2" w:rsidP="0023648F">
            <w:pPr>
              <w:pStyle w:val="Header"/>
              <w:tabs>
                <w:tab w:val="clear" w:pos="4153"/>
                <w:tab w:val="clear" w:pos="8306"/>
              </w:tabs>
              <w:rPr>
                <w:rFonts w:cs="Arial"/>
                <w:b/>
                <w:sz w:val="22"/>
                <w:szCs w:val="22"/>
              </w:rPr>
            </w:pPr>
            <w:r w:rsidRPr="001F0F37">
              <w:rPr>
                <w:rFonts w:cs="Arial"/>
                <w:b/>
                <w:sz w:val="22"/>
                <w:szCs w:val="22"/>
              </w:rPr>
              <w:t>Application of funds</w:t>
            </w:r>
            <w:r w:rsidRPr="001F0F37">
              <w:rPr>
                <w:rFonts w:cs="Arial"/>
                <w:sz w:val="22"/>
                <w:szCs w:val="22"/>
              </w:rPr>
              <w:t>.  All properties, funds and other assets dealt with under the authority of the General Synod</w:t>
            </w:r>
            <w:r>
              <w:rPr>
                <w:rFonts w:cs="Arial"/>
                <w:sz w:val="22"/>
                <w:szCs w:val="22"/>
              </w:rPr>
              <w:t xml:space="preserve"> /</w:t>
            </w:r>
            <w:r w:rsidRPr="001F0F37">
              <w:rPr>
                <w:rFonts w:cs="Arial"/>
                <w:sz w:val="22"/>
                <w:szCs w:val="22"/>
              </w:rPr>
              <w:t xml:space="preserve">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bCs/>
                <w:sz w:val="22"/>
                <w:szCs w:val="22"/>
              </w:rPr>
              <w:t>Hīnota</w:t>
            </w:r>
            <w:proofErr w:type="spellEnd"/>
            <w:r w:rsidRPr="001F0F37">
              <w:rPr>
                <w:rFonts w:cs="Arial"/>
                <w:bCs/>
                <w:sz w:val="22"/>
                <w:szCs w:val="22"/>
              </w:rPr>
              <w:t xml:space="preserve"> </w:t>
            </w:r>
            <w:proofErr w:type="spellStart"/>
            <w:r w:rsidRPr="001F0F37">
              <w:rPr>
                <w:rFonts w:cs="Arial"/>
                <w:bCs/>
                <w:sz w:val="22"/>
                <w:szCs w:val="22"/>
              </w:rPr>
              <w:t>Whānui</w:t>
            </w:r>
            <w:proofErr w:type="spellEnd"/>
            <w:r w:rsidRPr="001F0F37">
              <w:rPr>
                <w:rFonts w:cs="Arial"/>
                <w:bCs/>
                <w:sz w:val="22"/>
                <w:szCs w:val="22"/>
              </w:rPr>
              <w:t xml:space="preserve"> </w:t>
            </w:r>
            <w:r w:rsidRPr="001F0F37">
              <w:rPr>
                <w:rFonts w:cs="Arial"/>
                <w:sz w:val="22"/>
                <w:szCs w:val="22"/>
              </w:rPr>
              <w:t xml:space="preserve">the Dioceses or </w:t>
            </w:r>
            <w:proofErr w:type="spellStart"/>
            <w:r w:rsidRPr="001F0F37">
              <w:rPr>
                <w:rFonts w:cs="Arial"/>
                <w:sz w:val="22"/>
                <w:szCs w:val="22"/>
              </w:rPr>
              <w:t>ng</w:t>
            </w:r>
            <w:r>
              <w:rPr>
                <w:rFonts w:cs="Arial"/>
                <w:sz w:val="22"/>
                <w:szCs w:val="22"/>
              </w:rPr>
              <w:t>ā</w:t>
            </w:r>
            <w:proofErr w:type="spellEnd"/>
            <w:r w:rsidRPr="001F0F37">
              <w:rPr>
                <w:rFonts w:cs="Arial"/>
                <w:sz w:val="22"/>
                <w:szCs w:val="22"/>
              </w:rPr>
              <w:t xml:space="preserve"> </w:t>
            </w:r>
            <w:proofErr w:type="spellStart"/>
            <w:r w:rsidRPr="001F0F37">
              <w:rPr>
                <w:rFonts w:cs="Arial"/>
                <w:sz w:val="22"/>
                <w:szCs w:val="22"/>
              </w:rPr>
              <w:t>Hui</w:t>
            </w:r>
            <w:proofErr w:type="spellEnd"/>
            <w:r w:rsidRPr="001F0F37">
              <w:rPr>
                <w:rFonts w:cs="Arial"/>
                <w:sz w:val="22"/>
                <w:szCs w:val="22"/>
              </w:rPr>
              <w:t xml:space="preserve"> </w:t>
            </w:r>
            <w:proofErr w:type="spellStart"/>
            <w:r w:rsidRPr="001F0F37">
              <w:rPr>
                <w:rFonts w:cs="Arial"/>
                <w:sz w:val="22"/>
                <w:szCs w:val="22"/>
              </w:rPr>
              <w:t>Amorangi</w:t>
            </w:r>
            <w:proofErr w:type="spellEnd"/>
            <w:r w:rsidRPr="001F0F37">
              <w:rPr>
                <w:rFonts w:cs="Arial"/>
                <w:sz w:val="22"/>
                <w:szCs w:val="22"/>
              </w:rPr>
              <w:t xml:space="preserve"> must be applied exclusively to charitable purposes, and purposes ancillary thereto, consistently with the Fundamental Provision in Clause 1 of Part A of the Constitution /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sz w:val="22"/>
                <w:szCs w:val="22"/>
              </w:rPr>
              <w:t>Pouhere</w:t>
            </w:r>
            <w:proofErr w:type="spellEnd"/>
            <w:r w:rsidRPr="001F0F37">
              <w:rPr>
                <w:rFonts w:cs="Arial"/>
                <w:sz w:val="22"/>
                <w:szCs w:val="22"/>
              </w:rPr>
              <w:t xml:space="preserve">, and not for the purposes of the private pecuniary profit of any individual provided that this does not prevent payments of a reasonable fee or remuneration for services actually rendered at no more than market rates on an </w:t>
            </w:r>
            <w:proofErr w:type="spellStart"/>
            <w:r w:rsidRPr="001F0F37">
              <w:rPr>
                <w:rFonts w:cs="Arial"/>
                <w:sz w:val="22"/>
                <w:szCs w:val="22"/>
              </w:rPr>
              <w:t>arms length</w:t>
            </w:r>
            <w:proofErr w:type="spellEnd"/>
            <w:r w:rsidRPr="001F0F37">
              <w:rPr>
                <w:rFonts w:cs="Arial"/>
                <w:sz w:val="22"/>
                <w:szCs w:val="22"/>
              </w:rPr>
              <w:t xml:space="preserve"> basis.</w:t>
            </w:r>
          </w:p>
        </w:tc>
        <w:tc>
          <w:tcPr>
            <w:tcW w:w="1740" w:type="dxa"/>
          </w:tcPr>
          <w:p w14:paraId="2D65DC3F" w14:textId="77777777" w:rsidR="001F54C2" w:rsidRDefault="001F54C2" w:rsidP="0023648F">
            <w:pPr>
              <w:jc w:val="left"/>
              <w:rPr>
                <w:rFonts w:ascii="Arial Mäori" w:hAnsi="Arial Mäori" w:cs="Arial Mäori"/>
                <w:bCs/>
                <w:i/>
                <w:iCs/>
                <w:color w:val="000000"/>
                <w:sz w:val="18"/>
              </w:rPr>
            </w:pPr>
          </w:p>
        </w:tc>
      </w:tr>
      <w:tr w:rsidR="001F54C2" w14:paraId="156CA8D6" w14:textId="77777777" w:rsidTr="0023648F">
        <w:tc>
          <w:tcPr>
            <w:tcW w:w="948" w:type="dxa"/>
          </w:tcPr>
          <w:p w14:paraId="3A1CB7DA" w14:textId="77777777" w:rsidR="001F54C2" w:rsidRDefault="001F54C2" w:rsidP="001F54C2">
            <w:pPr>
              <w:jc w:val="left"/>
              <w:rPr>
                <w:rFonts w:ascii="Arial Mäori" w:hAnsi="Arial Mäori" w:cs="Arial Mäori"/>
                <w:bCs/>
                <w:color w:val="000000"/>
              </w:rPr>
            </w:pPr>
            <w:r>
              <w:rPr>
                <w:rFonts w:ascii="Arial Mäori" w:hAnsi="Arial Mäori" w:cs="Arial Mäori"/>
                <w:bCs/>
                <w:color w:val="000000"/>
              </w:rPr>
              <w:t>3.</w:t>
            </w:r>
          </w:p>
        </w:tc>
        <w:tc>
          <w:tcPr>
            <w:tcW w:w="6360" w:type="dxa"/>
          </w:tcPr>
          <w:p w14:paraId="7AC5F53E" w14:textId="77777777" w:rsidR="001F54C2" w:rsidRPr="001F0F37" w:rsidRDefault="001F54C2" w:rsidP="0023648F">
            <w:pPr>
              <w:pStyle w:val="Header"/>
              <w:tabs>
                <w:tab w:val="clear" w:pos="4153"/>
                <w:tab w:val="clear" w:pos="8306"/>
              </w:tabs>
              <w:rPr>
                <w:rFonts w:cs="Arial"/>
                <w:b/>
                <w:sz w:val="22"/>
                <w:szCs w:val="22"/>
              </w:rPr>
            </w:pPr>
            <w:r w:rsidRPr="001F0F37">
              <w:rPr>
                <w:rFonts w:cs="Arial"/>
                <w:b/>
                <w:sz w:val="22"/>
                <w:szCs w:val="22"/>
              </w:rPr>
              <w:t>Winding up</w:t>
            </w:r>
            <w:r w:rsidRPr="001F0F37">
              <w:rPr>
                <w:rFonts w:cs="Arial"/>
                <w:sz w:val="22"/>
                <w:szCs w:val="22"/>
              </w:rPr>
              <w:t xml:space="preserve">.  In the event of a winding up or other failure of the trusts or purposes for which such properties, funds or other assets are held, they may not be applied for anything other than a charitable purpose, as near as may be to the Fundamental Provision in Clause 1 of Part A of the Constitution </w:t>
            </w:r>
            <w:r>
              <w:rPr>
                <w:rFonts w:cs="Arial"/>
                <w:sz w:val="22"/>
                <w:szCs w:val="22"/>
              </w:rPr>
              <w:t>/</w:t>
            </w:r>
            <w:r w:rsidRPr="001F0F37">
              <w:rPr>
                <w:rFonts w:cs="Arial"/>
                <w:sz w:val="22"/>
                <w:szCs w:val="22"/>
              </w:rPr>
              <w:t xml:space="preserve">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sz w:val="22"/>
                <w:szCs w:val="22"/>
              </w:rPr>
              <w:t>Pouhere</w:t>
            </w:r>
            <w:proofErr w:type="spellEnd"/>
            <w:r w:rsidRPr="001F0F37">
              <w:rPr>
                <w:rFonts w:cs="Arial"/>
                <w:sz w:val="22"/>
                <w:szCs w:val="22"/>
              </w:rPr>
              <w:t>.</w:t>
            </w:r>
          </w:p>
        </w:tc>
        <w:tc>
          <w:tcPr>
            <w:tcW w:w="1740" w:type="dxa"/>
          </w:tcPr>
          <w:p w14:paraId="175E3D91" w14:textId="77777777" w:rsidR="001F54C2" w:rsidRDefault="001F54C2" w:rsidP="0023648F">
            <w:pPr>
              <w:jc w:val="left"/>
              <w:rPr>
                <w:rFonts w:ascii="Arial Mäori" w:hAnsi="Arial Mäori" w:cs="Arial Mäori"/>
                <w:bCs/>
                <w:i/>
                <w:iCs/>
                <w:color w:val="000000"/>
                <w:sz w:val="18"/>
              </w:rPr>
            </w:pPr>
          </w:p>
        </w:tc>
      </w:tr>
      <w:tr w:rsidR="001F54C2" w14:paraId="0B72F1A0" w14:textId="77777777" w:rsidTr="0023648F">
        <w:tc>
          <w:tcPr>
            <w:tcW w:w="948" w:type="dxa"/>
          </w:tcPr>
          <w:p w14:paraId="0495E653" w14:textId="77777777" w:rsidR="001F54C2" w:rsidRDefault="001F54C2" w:rsidP="001F54C2">
            <w:pPr>
              <w:jc w:val="left"/>
              <w:rPr>
                <w:rFonts w:ascii="Arial Mäori" w:hAnsi="Arial Mäori" w:cs="Arial Mäori"/>
                <w:bCs/>
                <w:color w:val="000000"/>
              </w:rPr>
            </w:pPr>
            <w:r>
              <w:rPr>
                <w:rFonts w:ascii="Arial Mäori" w:hAnsi="Arial Mäori" w:cs="Arial Mäori"/>
                <w:bCs/>
                <w:color w:val="000000"/>
              </w:rPr>
              <w:t>4.</w:t>
            </w:r>
          </w:p>
        </w:tc>
        <w:tc>
          <w:tcPr>
            <w:tcW w:w="6360" w:type="dxa"/>
          </w:tcPr>
          <w:p w14:paraId="05B1A3B2" w14:textId="77777777" w:rsidR="001F54C2" w:rsidRPr="001F0F37" w:rsidRDefault="001F54C2" w:rsidP="00C02B71">
            <w:pPr>
              <w:pStyle w:val="Header"/>
              <w:tabs>
                <w:tab w:val="clear" w:pos="4153"/>
                <w:tab w:val="clear" w:pos="8306"/>
              </w:tabs>
              <w:spacing w:after="0"/>
              <w:rPr>
                <w:rFonts w:cs="Arial"/>
                <w:b/>
                <w:sz w:val="22"/>
                <w:szCs w:val="22"/>
              </w:rPr>
            </w:pPr>
            <w:r w:rsidRPr="001F0F37">
              <w:rPr>
                <w:rFonts w:cs="Arial"/>
                <w:b/>
                <w:sz w:val="22"/>
                <w:szCs w:val="22"/>
              </w:rPr>
              <w:t>Personal benefit</w:t>
            </w:r>
            <w:r w:rsidRPr="001F0F37">
              <w:rPr>
                <w:rFonts w:cs="Arial"/>
                <w:sz w:val="22"/>
                <w:szCs w:val="22"/>
              </w:rPr>
              <w:t>. No officeholder shall participate in or materially influence any decision in respect of the payment to or on behalf of that officeholder (or any associated person of that officeholder, as defined by the Income Tax Act 2004) of any income, benefit or advantage whatsoever, except</w:t>
            </w:r>
          </w:p>
        </w:tc>
        <w:tc>
          <w:tcPr>
            <w:tcW w:w="1740" w:type="dxa"/>
          </w:tcPr>
          <w:p w14:paraId="0AE19738" w14:textId="77777777" w:rsidR="001F54C2" w:rsidRDefault="001F54C2" w:rsidP="0023648F">
            <w:pPr>
              <w:jc w:val="left"/>
              <w:rPr>
                <w:rFonts w:ascii="Arial Mäori" w:hAnsi="Arial Mäori" w:cs="Arial Mäori"/>
                <w:bCs/>
                <w:i/>
                <w:iCs/>
                <w:color w:val="000000"/>
                <w:sz w:val="18"/>
              </w:rPr>
            </w:pPr>
          </w:p>
        </w:tc>
      </w:tr>
      <w:tr w:rsidR="001F54C2" w14:paraId="4211943D" w14:textId="77777777" w:rsidTr="0023648F">
        <w:tc>
          <w:tcPr>
            <w:tcW w:w="948" w:type="dxa"/>
          </w:tcPr>
          <w:p w14:paraId="53AC3607" w14:textId="77777777" w:rsidR="001F54C2" w:rsidRDefault="001F54C2" w:rsidP="001F54C2">
            <w:pPr>
              <w:jc w:val="left"/>
              <w:rPr>
                <w:rFonts w:ascii="Arial Mäori" w:hAnsi="Arial Mäori" w:cs="Arial Mäori"/>
                <w:bCs/>
                <w:color w:val="000000"/>
              </w:rPr>
            </w:pPr>
          </w:p>
        </w:tc>
        <w:tc>
          <w:tcPr>
            <w:tcW w:w="6360" w:type="dxa"/>
          </w:tcPr>
          <w:p w14:paraId="10A19F82" w14:textId="77777777" w:rsidR="001F54C2" w:rsidRPr="001F0F37" w:rsidRDefault="001F54C2" w:rsidP="001F54C2">
            <w:pPr>
              <w:pStyle w:val="Header"/>
              <w:tabs>
                <w:tab w:val="clear" w:pos="4153"/>
                <w:tab w:val="clear" w:pos="8306"/>
              </w:tabs>
              <w:spacing w:after="0"/>
              <w:ind w:left="788" w:hanging="788"/>
              <w:rPr>
                <w:rFonts w:cs="Arial"/>
                <w:b/>
                <w:sz w:val="22"/>
                <w:szCs w:val="22"/>
              </w:rPr>
            </w:pPr>
            <w:r w:rsidRPr="001F0F37">
              <w:rPr>
                <w:rFonts w:cs="Arial"/>
                <w:sz w:val="22"/>
                <w:szCs w:val="22"/>
              </w:rPr>
              <w:t>(a)</w:t>
            </w:r>
            <w:r w:rsidRPr="001F0F37">
              <w:rPr>
                <w:rFonts w:cs="Arial"/>
                <w:sz w:val="22"/>
                <w:szCs w:val="22"/>
              </w:rPr>
              <w:tab/>
              <w:t xml:space="preserve">where that income, benefit or advantage is derived from professional services rendered in the course of business and </w:t>
            </w:r>
            <w:r w:rsidRPr="001F0F37">
              <w:rPr>
                <w:rFonts w:cs="Arial"/>
                <w:sz w:val="22"/>
                <w:szCs w:val="22"/>
              </w:rPr>
              <w:tab/>
              <w:t>charged at no greater than current market rates;</w:t>
            </w:r>
          </w:p>
        </w:tc>
        <w:tc>
          <w:tcPr>
            <w:tcW w:w="1740" w:type="dxa"/>
          </w:tcPr>
          <w:p w14:paraId="23710676" w14:textId="77777777" w:rsidR="001F54C2" w:rsidRDefault="001F54C2" w:rsidP="0023648F">
            <w:pPr>
              <w:jc w:val="left"/>
              <w:rPr>
                <w:rFonts w:ascii="Arial Mäori" w:hAnsi="Arial Mäori" w:cs="Arial Mäori"/>
                <w:bCs/>
                <w:i/>
                <w:iCs/>
                <w:color w:val="000000"/>
                <w:sz w:val="18"/>
              </w:rPr>
            </w:pPr>
          </w:p>
        </w:tc>
      </w:tr>
      <w:tr w:rsidR="001F54C2" w14:paraId="716A4DBA" w14:textId="77777777" w:rsidTr="0023648F">
        <w:tc>
          <w:tcPr>
            <w:tcW w:w="948" w:type="dxa"/>
          </w:tcPr>
          <w:p w14:paraId="3770CAEB" w14:textId="77777777" w:rsidR="001F54C2" w:rsidRDefault="001F54C2" w:rsidP="001F54C2">
            <w:pPr>
              <w:jc w:val="left"/>
              <w:rPr>
                <w:rFonts w:ascii="Arial Mäori" w:hAnsi="Arial Mäori" w:cs="Arial Mäori"/>
                <w:bCs/>
                <w:color w:val="000000"/>
              </w:rPr>
            </w:pPr>
          </w:p>
        </w:tc>
        <w:tc>
          <w:tcPr>
            <w:tcW w:w="6360" w:type="dxa"/>
          </w:tcPr>
          <w:p w14:paraId="7D255C47" w14:textId="77777777" w:rsidR="001F54C2" w:rsidRPr="001F0F37" w:rsidRDefault="001F54C2" w:rsidP="001F54C2">
            <w:pPr>
              <w:tabs>
                <w:tab w:val="left" w:pos="1134"/>
              </w:tabs>
              <w:spacing w:after="0"/>
              <w:ind w:left="788" w:hanging="709"/>
              <w:rPr>
                <w:rFonts w:cs="Arial"/>
                <w:sz w:val="22"/>
                <w:szCs w:val="22"/>
              </w:rPr>
            </w:pPr>
            <w:r w:rsidRPr="001F0F37">
              <w:rPr>
                <w:rFonts w:cs="Arial"/>
                <w:sz w:val="22"/>
                <w:szCs w:val="22"/>
              </w:rPr>
              <w:t>(b)</w:t>
            </w:r>
            <w:r w:rsidRPr="001F0F37">
              <w:rPr>
                <w:rFonts w:cs="Arial"/>
                <w:sz w:val="22"/>
                <w:szCs w:val="22"/>
              </w:rPr>
              <w:tab/>
            </w:r>
            <w:proofErr w:type="gramStart"/>
            <w:r w:rsidRPr="001F0F37">
              <w:rPr>
                <w:rFonts w:cs="Arial"/>
                <w:sz w:val="22"/>
                <w:szCs w:val="22"/>
              </w:rPr>
              <w:t>where</w:t>
            </w:r>
            <w:proofErr w:type="gramEnd"/>
            <w:r w:rsidRPr="001F0F37">
              <w:rPr>
                <w:rFonts w:cs="Arial"/>
                <w:sz w:val="22"/>
                <w:szCs w:val="22"/>
              </w:rPr>
              <w:t xml:space="preserve"> voting in Houses is required and the officeholder votes in accord with a concurrent majority in the other two Houses (having taken no part in the prior discussion).</w:t>
            </w:r>
          </w:p>
        </w:tc>
        <w:tc>
          <w:tcPr>
            <w:tcW w:w="1740" w:type="dxa"/>
          </w:tcPr>
          <w:p w14:paraId="1D5217DD" w14:textId="77777777" w:rsidR="001F54C2" w:rsidRDefault="001F54C2" w:rsidP="0023648F">
            <w:pPr>
              <w:jc w:val="left"/>
              <w:rPr>
                <w:rFonts w:ascii="Arial Mäori" w:hAnsi="Arial Mäori" w:cs="Arial Mäori"/>
                <w:bCs/>
                <w:i/>
                <w:iCs/>
                <w:color w:val="000000"/>
                <w:sz w:val="18"/>
              </w:rPr>
            </w:pPr>
          </w:p>
        </w:tc>
      </w:tr>
      <w:tr w:rsidR="001F54C2" w14:paraId="72E44D09" w14:textId="77777777" w:rsidTr="0023648F">
        <w:tc>
          <w:tcPr>
            <w:tcW w:w="948" w:type="dxa"/>
          </w:tcPr>
          <w:p w14:paraId="1634CD9C" w14:textId="77777777" w:rsidR="001F54C2" w:rsidRDefault="001F54C2" w:rsidP="001F54C2">
            <w:pPr>
              <w:jc w:val="left"/>
              <w:rPr>
                <w:rFonts w:ascii="Arial Mäori" w:hAnsi="Arial Mäori" w:cs="Arial Mäori"/>
                <w:bCs/>
                <w:color w:val="000000"/>
              </w:rPr>
            </w:pPr>
          </w:p>
        </w:tc>
        <w:tc>
          <w:tcPr>
            <w:tcW w:w="6360" w:type="dxa"/>
          </w:tcPr>
          <w:p w14:paraId="02C0A906" w14:textId="77777777" w:rsidR="001F54C2" w:rsidRPr="001F0F37" w:rsidRDefault="001F54C2" w:rsidP="001F54C2">
            <w:pPr>
              <w:rPr>
                <w:rFonts w:cs="Arial"/>
                <w:sz w:val="22"/>
                <w:szCs w:val="22"/>
              </w:rPr>
            </w:pPr>
            <w:r w:rsidRPr="001F0F37">
              <w:rPr>
                <w:rFonts w:cs="Arial"/>
                <w:i/>
                <w:sz w:val="22"/>
                <w:szCs w:val="22"/>
              </w:rPr>
              <w:t>Explanatory note</w:t>
            </w:r>
            <w:r w:rsidRPr="001F0F37">
              <w:rPr>
                <w:rFonts w:cs="Arial"/>
                <w:sz w:val="22"/>
                <w:szCs w:val="22"/>
              </w:rPr>
              <w:t>:  “Associated person”, under the Income Tax Act, includes spouses, and close relatives</w:t>
            </w:r>
            <w:r>
              <w:rPr>
                <w:rFonts w:cs="Arial"/>
                <w:sz w:val="22"/>
                <w:szCs w:val="22"/>
              </w:rPr>
              <w:t xml:space="preserve">. </w:t>
            </w:r>
            <w:r w:rsidRPr="001F0F37">
              <w:rPr>
                <w:rFonts w:cs="Arial"/>
                <w:sz w:val="22"/>
                <w:szCs w:val="22"/>
              </w:rPr>
              <w:t xml:space="preserve"> Laterally, this goes out as far as first cousins, who are within the “fourth degree” of re</w:t>
            </w:r>
            <w:r>
              <w:rPr>
                <w:rFonts w:cs="Arial"/>
                <w:sz w:val="22"/>
                <w:szCs w:val="22"/>
              </w:rPr>
              <w:t xml:space="preserve">lationship to the officeholder.  </w:t>
            </w:r>
            <w:r w:rsidRPr="001F0F37">
              <w:rPr>
                <w:rFonts w:cs="Arial"/>
                <w:sz w:val="22"/>
                <w:szCs w:val="22"/>
              </w:rPr>
              <w:t>Vertically, it goes as far as the officeholder’s great-great grandparents and great-great grandchildren. The term “associated person” can also include companies and trusts in which the officeholder or their relative has an interest.</w:t>
            </w:r>
          </w:p>
        </w:tc>
        <w:tc>
          <w:tcPr>
            <w:tcW w:w="1740" w:type="dxa"/>
          </w:tcPr>
          <w:p w14:paraId="34210C5E" w14:textId="77777777" w:rsidR="001F54C2" w:rsidRDefault="001F54C2" w:rsidP="0023648F">
            <w:pPr>
              <w:jc w:val="left"/>
              <w:rPr>
                <w:rFonts w:ascii="Arial Mäori" w:hAnsi="Arial Mäori" w:cs="Arial Mäori"/>
                <w:bCs/>
                <w:i/>
                <w:iCs/>
                <w:color w:val="000000"/>
                <w:sz w:val="18"/>
              </w:rPr>
            </w:pPr>
          </w:p>
        </w:tc>
      </w:tr>
    </w:tbl>
    <w:p w14:paraId="3B6C4FC6" w14:textId="77777777" w:rsidR="001F54C2" w:rsidRDefault="001F54C2" w:rsidP="001F54C2">
      <w:pPr>
        <w:jc w:val="left"/>
        <w:rPr>
          <w:rFonts w:ascii="Arial Mäori" w:hAnsi="Arial Mäori" w:cs="Arial Mäori"/>
          <w:bCs/>
          <w:color w:val="000000"/>
        </w:rPr>
        <w:sectPr w:rsidR="001F54C2">
          <w:headerReference w:type="default" r:id="rId9"/>
          <w:footerReference w:type="default" r:id="rId10"/>
          <w:pgSz w:w="11906" w:h="16838"/>
          <w:pgMar w:top="1440" w:right="1440" w:bottom="1440" w:left="1440" w:header="708" w:footer="708" w:gutter="0"/>
          <w:cols w:space="708"/>
          <w:docGrid w:linePitch="360"/>
        </w:sectPr>
      </w:pPr>
    </w:p>
    <w:tbl>
      <w:tblPr>
        <w:tblW w:w="8948" w:type="dxa"/>
        <w:tblLayout w:type="fixed"/>
        <w:tblLook w:val="0000" w:firstRow="0" w:lastRow="0" w:firstColumn="0" w:lastColumn="0" w:noHBand="0" w:noVBand="0"/>
      </w:tblPr>
      <w:tblGrid>
        <w:gridCol w:w="993"/>
        <w:gridCol w:w="6237"/>
        <w:gridCol w:w="1718"/>
      </w:tblGrid>
      <w:tr w:rsidR="001F54C2" w14:paraId="31405967" w14:textId="77777777" w:rsidTr="001F54C2">
        <w:tc>
          <w:tcPr>
            <w:tcW w:w="993" w:type="dxa"/>
          </w:tcPr>
          <w:p w14:paraId="453D425C" w14:textId="3E74A833" w:rsidR="001F54C2" w:rsidRPr="000756ED" w:rsidRDefault="00C02B71" w:rsidP="00C02B71">
            <w:pPr>
              <w:ind w:right="1218"/>
              <w:rPr>
                <w:rFonts w:cs="Arial"/>
              </w:rPr>
            </w:pPr>
            <w:r>
              <w:rPr>
                <w:rFonts w:cs="Arial"/>
                <w:sz w:val="22"/>
                <w:szCs w:val="22"/>
              </w:rPr>
              <w:lastRenderedPageBreak/>
              <w:t>5</w:t>
            </w:r>
          </w:p>
        </w:tc>
        <w:tc>
          <w:tcPr>
            <w:tcW w:w="6237" w:type="dxa"/>
          </w:tcPr>
          <w:p w14:paraId="5A279EAF" w14:textId="77777777" w:rsidR="001F54C2" w:rsidRPr="000756ED" w:rsidRDefault="001F54C2" w:rsidP="001F54C2">
            <w:pPr>
              <w:rPr>
                <w:rFonts w:cs="Arial"/>
              </w:rPr>
            </w:pPr>
            <w:proofErr w:type="spellStart"/>
            <w:r w:rsidRPr="000756ED">
              <w:rPr>
                <w:rFonts w:cs="Arial"/>
                <w:b/>
                <w:sz w:val="22"/>
                <w:szCs w:val="22"/>
              </w:rPr>
              <w:t>Te</w:t>
            </w:r>
            <w:proofErr w:type="spellEnd"/>
            <w:r w:rsidRPr="000756ED">
              <w:rPr>
                <w:rFonts w:cs="Arial"/>
                <w:b/>
                <w:sz w:val="22"/>
                <w:szCs w:val="22"/>
              </w:rPr>
              <w:t xml:space="preserve"> </w:t>
            </w:r>
            <w:proofErr w:type="spellStart"/>
            <w:r w:rsidRPr="000756ED">
              <w:rPr>
                <w:rFonts w:cs="Arial"/>
                <w:b/>
                <w:sz w:val="22"/>
                <w:szCs w:val="22"/>
              </w:rPr>
              <w:t>Runanganui</w:t>
            </w:r>
            <w:proofErr w:type="spellEnd"/>
            <w:r w:rsidRPr="000756ED">
              <w:rPr>
                <w:rFonts w:cs="Arial"/>
                <w:b/>
                <w:sz w:val="22"/>
                <w:szCs w:val="22"/>
              </w:rPr>
              <w:t xml:space="preserve"> and</w:t>
            </w:r>
            <w:r w:rsidRPr="000756ED">
              <w:rPr>
                <w:rFonts w:cs="Arial"/>
                <w:sz w:val="22"/>
                <w:szCs w:val="22"/>
              </w:rPr>
              <w:t xml:space="preserve"> </w:t>
            </w:r>
            <w:r w:rsidRPr="000756ED">
              <w:rPr>
                <w:rFonts w:cs="Arial"/>
                <w:b/>
                <w:sz w:val="22"/>
                <w:szCs w:val="22"/>
              </w:rPr>
              <w:t>Dioceses.</w:t>
            </w:r>
            <w:r w:rsidRPr="000756ED">
              <w:rPr>
                <w:rFonts w:cs="Arial"/>
                <w:sz w:val="22"/>
                <w:szCs w:val="22"/>
              </w:rPr>
              <w:t xml:space="preserve">  It is declared </w:t>
            </w:r>
            <w:r>
              <w:rPr>
                <w:rFonts w:cs="Arial"/>
                <w:sz w:val="22"/>
                <w:szCs w:val="22"/>
              </w:rPr>
              <w:t>th</w:t>
            </w:r>
            <w:r w:rsidRPr="000756ED">
              <w:rPr>
                <w:rFonts w:cs="Arial"/>
                <w:sz w:val="22"/>
                <w:szCs w:val="22"/>
              </w:rPr>
              <w:t xml:space="preserve">at: </w:t>
            </w:r>
          </w:p>
        </w:tc>
        <w:tc>
          <w:tcPr>
            <w:tcW w:w="1718" w:type="dxa"/>
          </w:tcPr>
          <w:p w14:paraId="3CFF828E" w14:textId="77777777" w:rsidR="001F54C2" w:rsidRPr="000756ED" w:rsidRDefault="001F54C2" w:rsidP="001F54C2">
            <w:pPr>
              <w:tabs>
                <w:tab w:val="left" w:pos="274"/>
              </w:tabs>
              <w:ind w:right="1218"/>
              <w:rPr>
                <w:rFonts w:cs="Arial"/>
              </w:rPr>
            </w:pPr>
          </w:p>
        </w:tc>
      </w:tr>
      <w:tr w:rsidR="001F54C2" w14:paraId="63D116B9" w14:textId="77777777" w:rsidTr="001F54C2">
        <w:tc>
          <w:tcPr>
            <w:tcW w:w="993" w:type="dxa"/>
          </w:tcPr>
          <w:p w14:paraId="0CB299C4" w14:textId="77777777" w:rsidR="001F54C2" w:rsidRPr="000756ED" w:rsidRDefault="001F54C2" w:rsidP="001F54C2">
            <w:pPr>
              <w:ind w:right="1218"/>
              <w:jc w:val="left"/>
              <w:rPr>
                <w:rFonts w:cs="Arial"/>
                <w:sz w:val="22"/>
                <w:szCs w:val="22"/>
              </w:rPr>
            </w:pPr>
          </w:p>
        </w:tc>
        <w:tc>
          <w:tcPr>
            <w:tcW w:w="6237" w:type="dxa"/>
          </w:tcPr>
          <w:p w14:paraId="3AC1A369" w14:textId="77777777" w:rsidR="001F54C2" w:rsidRPr="000756ED" w:rsidRDefault="001F54C2" w:rsidP="00C02B71">
            <w:pPr>
              <w:ind w:left="742" w:hanging="742"/>
              <w:rPr>
                <w:rFonts w:cs="Arial"/>
                <w:b/>
                <w:sz w:val="22"/>
                <w:szCs w:val="22"/>
              </w:rPr>
            </w:pPr>
            <w:r w:rsidRPr="001F0F37">
              <w:rPr>
                <w:rFonts w:cs="Arial"/>
                <w:sz w:val="22"/>
                <w:szCs w:val="22"/>
              </w:rPr>
              <w:t>5.1.1</w:t>
            </w:r>
            <w:r w:rsidRPr="001F0F37">
              <w:rPr>
                <w:rFonts w:cs="Arial"/>
                <w:sz w:val="22"/>
                <w:szCs w:val="22"/>
              </w:rPr>
              <w:tab/>
              <w:t xml:space="preserve">the provisions of Clause 4 relate to the procedures of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sz w:val="22"/>
                <w:szCs w:val="22"/>
              </w:rPr>
              <w:t>Runanganui</w:t>
            </w:r>
            <w:proofErr w:type="spellEnd"/>
            <w:r w:rsidRPr="001F0F37">
              <w:rPr>
                <w:rFonts w:cs="Arial"/>
                <w:sz w:val="22"/>
                <w:szCs w:val="22"/>
              </w:rPr>
              <w:t xml:space="preserve"> o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sz w:val="22"/>
                <w:szCs w:val="22"/>
              </w:rPr>
              <w:t>Pī</w:t>
            </w:r>
            <w:r>
              <w:rPr>
                <w:rFonts w:cs="Arial"/>
                <w:sz w:val="22"/>
                <w:szCs w:val="22"/>
              </w:rPr>
              <w:t>hopatanga</w:t>
            </w:r>
            <w:proofErr w:type="spellEnd"/>
            <w:r>
              <w:rPr>
                <w:rFonts w:cs="Arial"/>
                <w:sz w:val="22"/>
                <w:szCs w:val="22"/>
              </w:rPr>
              <w:t xml:space="preserve"> o Aotearoa,</w:t>
            </w:r>
            <w:r w:rsidRPr="001F0F37">
              <w:rPr>
                <w:rFonts w:cs="Arial"/>
                <w:sz w:val="22"/>
                <w:szCs w:val="22"/>
              </w:rPr>
              <w:t xml:space="preserve"> Diocesan Synods, and the Diocesan Synod of the Diocese of Polynesia and their respective associated bodies, and</w:t>
            </w:r>
          </w:p>
        </w:tc>
        <w:tc>
          <w:tcPr>
            <w:tcW w:w="1718" w:type="dxa"/>
          </w:tcPr>
          <w:p w14:paraId="31A6B741" w14:textId="77777777" w:rsidR="001F54C2" w:rsidRPr="000756ED" w:rsidRDefault="001F54C2" w:rsidP="001F54C2">
            <w:pPr>
              <w:tabs>
                <w:tab w:val="left" w:pos="274"/>
              </w:tabs>
              <w:ind w:right="1218"/>
              <w:rPr>
                <w:rFonts w:cs="Arial"/>
              </w:rPr>
            </w:pPr>
          </w:p>
        </w:tc>
      </w:tr>
      <w:tr w:rsidR="001F54C2" w14:paraId="1EC0FF70" w14:textId="77777777" w:rsidTr="001F54C2">
        <w:tc>
          <w:tcPr>
            <w:tcW w:w="993" w:type="dxa"/>
          </w:tcPr>
          <w:p w14:paraId="67619670" w14:textId="77777777" w:rsidR="001F54C2" w:rsidRPr="000756ED" w:rsidRDefault="001F54C2" w:rsidP="001F54C2">
            <w:pPr>
              <w:ind w:right="1218"/>
              <w:jc w:val="left"/>
              <w:rPr>
                <w:rFonts w:cs="Arial"/>
                <w:sz w:val="22"/>
                <w:szCs w:val="22"/>
              </w:rPr>
            </w:pPr>
          </w:p>
        </w:tc>
        <w:tc>
          <w:tcPr>
            <w:tcW w:w="6237" w:type="dxa"/>
          </w:tcPr>
          <w:p w14:paraId="25D541B9" w14:textId="77777777" w:rsidR="001F54C2" w:rsidRPr="001F0F37" w:rsidRDefault="001F54C2" w:rsidP="00C02B71">
            <w:pPr>
              <w:ind w:left="742" w:hanging="742"/>
              <w:rPr>
                <w:rFonts w:cs="Arial"/>
                <w:sz w:val="22"/>
                <w:szCs w:val="22"/>
              </w:rPr>
            </w:pPr>
            <w:r w:rsidRPr="001F0F37">
              <w:rPr>
                <w:rFonts w:cs="Arial"/>
                <w:sz w:val="22"/>
                <w:szCs w:val="22"/>
              </w:rPr>
              <w:t xml:space="preserve">5.1.2 </w:t>
            </w:r>
            <w:r w:rsidRPr="001F0F37">
              <w:rPr>
                <w:rFonts w:cs="Arial"/>
                <w:sz w:val="22"/>
                <w:szCs w:val="22"/>
              </w:rPr>
              <w:tab/>
            </w:r>
            <w:proofErr w:type="gramStart"/>
            <w:r w:rsidRPr="001F0F37">
              <w:rPr>
                <w:rFonts w:cs="Arial"/>
                <w:sz w:val="22"/>
                <w:szCs w:val="22"/>
              </w:rPr>
              <w:t>the</w:t>
            </w:r>
            <w:proofErr w:type="gramEnd"/>
            <w:r w:rsidRPr="001F0F37">
              <w:rPr>
                <w:rFonts w:cs="Arial"/>
                <w:sz w:val="22"/>
                <w:szCs w:val="22"/>
              </w:rPr>
              <w:t xml:space="preserve"> power of self-regulation conferred recognized by Title B Canon II apply to permit the repeal or amendment of Clause 4 at any time after this Canon takes effect.”</w:t>
            </w:r>
          </w:p>
        </w:tc>
        <w:tc>
          <w:tcPr>
            <w:tcW w:w="1718" w:type="dxa"/>
          </w:tcPr>
          <w:p w14:paraId="0147136D" w14:textId="77777777" w:rsidR="001F54C2" w:rsidRPr="000756ED" w:rsidRDefault="001F54C2" w:rsidP="001F54C2">
            <w:pPr>
              <w:tabs>
                <w:tab w:val="left" w:pos="274"/>
              </w:tabs>
              <w:ind w:right="1218"/>
              <w:rPr>
                <w:rFonts w:cs="Arial"/>
              </w:rPr>
            </w:pPr>
          </w:p>
        </w:tc>
      </w:tr>
      <w:tr w:rsidR="001F54C2" w14:paraId="1E565802" w14:textId="77777777" w:rsidTr="001F54C2">
        <w:tc>
          <w:tcPr>
            <w:tcW w:w="993" w:type="dxa"/>
          </w:tcPr>
          <w:p w14:paraId="6D142010" w14:textId="77777777" w:rsidR="001F54C2" w:rsidRPr="000756ED" w:rsidRDefault="001F54C2" w:rsidP="001F54C2">
            <w:pPr>
              <w:ind w:right="1218"/>
              <w:jc w:val="left"/>
              <w:rPr>
                <w:rFonts w:cs="Arial"/>
                <w:sz w:val="22"/>
                <w:szCs w:val="22"/>
              </w:rPr>
            </w:pPr>
          </w:p>
        </w:tc>
        <w:tc>
          <w:tcPr>
            <w:tcW w:w="6237" w:type="dxa"/>
          </w:tcPr>
          <w:p w14:paraId="381EE9E1" w14:textId="77777777" w:rsidR="001F54C2" w:rsidRPr="001F0F37" w:rsidRDefault="001F54C2" w:rsidP="001F54C2">
            <w:pPr>
              <w:rPr>
                <w:rFonts w:cs="Arial"/>
                <w:sz w:val="22"/>
                <w:szCs w:val="22"/>
              </w:rPr>
            </w:pPr>
            <w:proofErr w:type="gramStart"/>
            <w:r w:rsidRPr="001F0F37">
              <w:rPr>
                <w:rFonts w:cs="Arial"/>
                <w:sz w:val="22"/>
                <w:szCs w:val="22"/>
              </w:rPr>
              <w:t>except</w:t>
            </w:r>
            <w:proofErr w:type="gramEnd"/>
            <w:r w:rsidRPr="001F0F37">
              <w:rPr>
                <w:rFonts w:cs="Arial"/>
                <w:sz w:val="22"/>
                <w:szCs w:val="22"/>
              </w:rPr>
              <w:t xml:space="preserve"> that no such repeal or amendment shall be made so as to prejudice the standing of the Church /</w:t>
            </w:r>
            <w:r>
              <w:rPr>
                <w:rFonts w:cs="Arial"/>
                <w:sz w:val="22"/>
                <w:szCs w:val="22"/>
              </w:rPr>
              <w:t xml:space="preserve"> </w:t>
            </w:r>
            <w:proofErr w:type="spellStart"/>
            <w:r w:rsidRPr="001F0F37">
              <w:rPr>
                <w:rFonts w:cs="Arial"/>
                <w:sz w:val="22"/>
                <w:szCs w:val="22"/>
              </w:rPr>
              <w:t>te</w:t>
            </w:r>
            <w:proofErr w:type="spellEnd"/>
            <w:r w:rsidRPr="001F0F37">
              <w:rPr>
                <w:rFonts w:cs="Arial"/>
                <w:sz w:val="22"/>
                <w:szCs w:val="22"/>
              </w:rPr>
              <w:t xml:space="preserve"> </w:t>
            </w:r>
            <w:proofErr w:type="spellStart"/>
            <w:r w:rsidRPr="001F0F37">
              <w:rPr>
                <w:rFonts w:cs="Arial"/>
                <w:sz w:val="22"/>
                <w:szCs w:val="22"/>
              </w:rPr>
              <w:t>Hāhi</w:t>
            </w:r>
            <w:proofErr w:type="spellEnd"/>
            <w:r w:rsidRPr="001F0F37">
              <w:rPr>
                <w:rFonts w:cs="Arial"/>
                <w:sz w:val="22"/>
                <w:szCs w:val="22"/>
              </w:rPr>
              <w:t xml:space="preserve"> or any part of it as a charitable body, and in any event no such repeal or amendment shall take effect until accepted for registration by the Charities Commission under the Charities Act 2005.</w:t>
            </w:r>
          </w:p>
        </w:tc>
        <w:tc>
          <w:tcPr>
            <w:tcW w:w="1718" w:type="dxa"/>
          </w:tcPr>
          <w:p w14:paraId="14FF39BA" w14:textId="77777777" w:rsidR="001F54C2" w:rsidRPr="000756ED" w:rsidRDefault="001F54C2" w:rsidP="001F54C2">
            <w:pPr>
              <w:tabs>
                <w:tab w:val="left" w:pos="274"/>
              </w:tabs>
              <w:ind w:right="1218"/>
              <w:rPr>
                <w:rFonts w:cs="Arial"/>
              </w:rPr>
            </w:pPr>
          </w:p>
        </w:tc>
      </w:tr>
    </w:tbl>
    <w:p w14:paraId="717B0A7B" w14:textId="77777777" w:rsidR="001F54C2" w:rsidRDefault="001F54C2" w:rsidP="001F54C2"/>
    <w:sectPr w:rsidR="001F54C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B32B8" w14:textId="77777777" w:rsidR="001F54C2" w:rsidRDefault="001F54C2" w:rsidP="001F54C2">
      <w:pPr>
        <w:spacing w:before="0" w:after="0"/>
      </w:pPr>
      <w:r>
        <w:separator/>
      </w:r>
    </w:p>
  </w:endnote>
  <w:endnote w:type="continuationSeparator" w:id="0">
    <w:p w14:paraId="7261CC8D" w14:textId="77777777" w:rsidR="001F54C2" w:rsidRDefault="001F54C2" w:rsidP="001F54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9F8E" w14:textId="77777777" w:rsidR="00AB102F" w:rsidRDefault="001F54C2">
    <w:pPr>
      <w:pStyle w:val="Footer"/>
      <w:jc w:val="center"/>
      <w:rPr>
        <w:rFonts w:ascii="Times New Roman" w:hAnsi="Times New Roman"/>
      </w:rPr>
    </w:pPr>
    <w:r>
      <w:rPr>
        <w:rFonts w:ascii="Times New Roman" w:hAnsi="Times New Roman"/>
      </w:rPr>
      <w:tab/>
      <w:t>- F. 21</w:t>
    </w:r>
    <w:r>
      <w:rPr>
        <w:rStyle w:val="PageNumber"/>
        <w:rFonts w:ascii="Times New Roman" w:hAnsi="Times New Roman"/>
      </w:rPr>
      <w:t xml:space="preserve"> -</w:t>
    </w:r>
    <w:r>
      <w:rPr>
        <w:rStyle w:val="PageNumber"/>
        <w:rFonts w:ascii="Times New Roman" w:hAnsi="Times New Roman"/>
      </w:rP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102A0" w14:textId="77777777" w:rsidR="001F54C2" w:rsidRDefault="001F54C2">
    <w:pPr>
      <w:pStyle w:val="Footer"/>
      <w:jc w:val="center"/>
      <w:rPr>
        <w:rFonts w:ascii="Times New Roman" w:hAnsi="Times New Roman"/>
      </w:rPr>
    </w:pPr>
    <w:r>
      <w:rPr>
        <w:rFonts w:ascii="Times New Roman" w:hAnsi="Times New Roman"/>
      </w:rPr>
      <w:tab/>
      <w:t>- F. 22</w:t>
    </w:r>
    <w:r>
      <w:rPr>
        <w:rStyle w:val="PageNumber"/>
        <w:rFonts w:ascii="Times New Roman" w:hAnsi="Times New Roman"/>
      </w:rPr>
      <w:t xml:space="preserve"> -</w:t>
    </w:r>
    <w:r>
      <w:rPr>
        <w:rStyle w:val="PageNumber"/>
        <w:rFonts w:ascii="Times New Roman" w:hAnsi="Times New Roman"/>
      </w:rP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70337" w14:textId="77777777" w:rsidR="001F54C2" w:rsidRDefault="001F54C2" w:rsidP="001F54C2">
      <w:pPr>
        <w:spacing w:before="0" w:after="0"/>
      </w:pPr>
      <w:r>
        <w:separator/>
      </w:r>
    </w:p>
  </w:footnote>
  <w:footnote w:type="continuationSeparator" w:id="0">
    <w:p w14:paraId="72A44E97" w14:textId="77777777" w:rsidR="001F54C2" w:rsidRDefault="001F54C2" w:rsidP="001F54C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5DAA" w14:textId="77777777" w:rsidR="001F54C2" w:rsidRPr="001F54C2" w:rsidRDefault="001F54C2" w:rsidP="001F54C2">
    <w:pPr>
      <w:pStyle w:val="Header"/>
      <w:tabs>
        <w:tab w:val="clear" w:pos="8306"/>
        <w:tab w:val="left" w:pos="5670"/>
        <w:tab w:val="right" w:pos="8789"/>
      </w:tabs>
      <w:rPr>
        <w:b/>
        <w:sz w:val="22"/>
        <w:szCs w:val="22"/>
      </w:rPr>
    </w:pPr>
    <w:r>
      <w:rPr>
        <w:b/>
        <w:sz w:val="22"/>
        <w:szCs w:val="22"/>
      </w:rPr>
      <w:tab/>
    </w:r>
    <w:r>
      <w:rPr>
        <w:b/>
        <w:sz w:val="22"/>
        <w:szCs w:val="22"/>
      </w:rPr>
      <w:tab/>
      <w:t>CANON IX</w:t>
    </w:r>
    <w:r>
      <w:rPr>
        <w:b/>
        <w:sz w:val="22"/>
        <w:szCs w:val="22"/>
      </w:rPr>
      <w:tab/>
      <w:t>TITLE 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C2"/>
    <w:rsid w:val="001F54C2"/>
    <w:rsid w:val="00623096"/>
    <w:rsid w:val="00C02B71"/>
    <w:rsid w:val="00C25F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BD44"/>
  <w15:chartTrackingRefBased/>
  <w15:docId w15:val="{504F3A86-3F67-4DCF-BB10-66CCEF06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4C2"/>
    <w:pPr>
      <w:spacing w:before="120" w:after="120" w:line="240" w:lineRule="auto"/>
      <w:jc w:val="both"/>
    </w:pPr>
    <w:rPr>
      <w:rFonts w:ascii="Arial" w:eastAsia="Times New Roman" w:hAnsi="Arial" w:cs="Times New Roman"/>
      <w:sz w:val="20"/>
      <w:szCs w:val="20"/>
      <w:lang w:val="en-AU"/>
    </w:rPr>
  </w:style>
  <w:style w:type="paragraph" w:styleId="Heading6">
    <w:name w:val="heading 6"/>
    <w:basedOn w:val="Normal"/>
    <w:next w:val="Normal"/>
    <w:link w:val="Heading6Char"/>
    <w:qFormat/>
    <w:rsid w:val="001F54C2"/>
    <w:pPr>
      <w:keepNext/>
      <w:jc w:val="center"/>
      <w:outlineLvl w:val="5"/>
    </w:pPr>
    <w:rPr>
      <w:rFonts w:ascii="Arial Mäori" w:hAnsi="Arial Mäori" w:cs="Arial Mäo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F54C2"/>
    <w:pPr>
      <w:tabs>
        <w:tab w:val="center" w:pos="4153"/>
        <w:tab w:val="right" w:pos="8306"/>
      </w:tabs>
    </w:pPr>
  </w:style>
  <w:style w:type="character" w:customStyle="1" w:styleId="HeaderChar">
    <w:name w:val="Header Char"/>
    <w:basedOn w:val="DefaultParagraphFont"/>
    <w:link w:val="Header"/>
    <w:semiHidden/>
    <w:rsid w:val="001F54C2"/>
    <w:rPr>
      <w:rFonts w:ascii="Arial" w:eastAsia="Times New Roman" w:hAnsi="Arial" w:cs="Times New Roman"/>
      <w:sz w:val="20"/>
      <w:szCs w:val="20"/>
      <w:lang w:val="en-AU"/>
    </w:rPr>
  </w:style>
  <w:style w:type="character" w:customStyle="1" w:styleId="Heading6Char">
    <w:name w:val="Heading 6 Char"/>
    <w:basedOn w:val="DefaultParagraphFont"/>
    <w:link w:val="Heading6"/>
    <w:rsid w:val="001F54C2"/>
    <w:rPr>
      <w:rFonts w:ascii="Arial Mäori" w:eastAsia="Times New Roman" w:hAnsi="Arial Mäori" w:cs="Arial Mäori"/>
      <w:b/>
      <w:color w:val="000000"/>
      <w:sz w:val="24"/>
      <w:szCs w:val="20"/>
      <w:lang w:val="en-AU"/>
    </w:rPr>
  </w:style>
  <w:style w:type="paragraph" w:styleId="Footer">
    <w:name w:val="footer"/>
    <w:basedOn w:val="Normal"/>
    <w:link w:val="FooterChar"/>
    <w:semiHidden/>
    <w:rsid w:val="001F54C2"/>
    <w:pPr>
      <w:tabs>
        <w:tab w:val="center" w:pos="4153"/>
        <w:tab w:val="right" w:pos="8306"/>
      </w:tabs>
    </w:pPr>
  </w:style>
  <w:style w:type="character" w:customStyle="1" w:styleId="FooterChar">
    <w:name w:val="Footer Char"/>
    <w:basedOn w:val="DefaultParagraphFont"/>
    <w:link w:val="Footer"/>
    <w:semiHidden/>
    <w:rsid w:val="001F54C2"/>
    <w:rPr>
      <w:rFonts w:ascii="Arial" w:eastAsia="Times New Roman" w:hAnsi="Arial" w:cs="Times New Roman"/>
      <w:sz w:val="20"/>
      <w:szCs w:val="20"/>
      <w:lang w:val="en-AU"/>
    </w:rPr>
  </w:style>
  <w:style w:type="character" w:styleId="PageNumber">
    <w:name w:val="page number"/>
    <w:basedOn w:val="DefaultParagraphFont"/>
    <w:semiHidden/>
    <w:rsid w:val="001F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D7F1A-B5F1-4683-81C6-0552AFAEC470}">
  <ds:schemaRefs>
    <ds:schemaRef ds:uri="http://schemas.microsoft.com/sharepoint/v3/contenttype/forms"/>
  </ds:schemaRefs>
</ds:datastoreItem>
</file>

<file path=customXml/itemProps2.xml><?xml version="1.0" encoding="utf-8"?>
<ds:datastoreItem xmlns:ds="http://schemas.openxmlformats.org/officeDocument/2006/customXml" ds:itemID="{BA0A88B6-5E3A-46AF-8C2C-912EFF55EFAC}">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134340F8-3A67-4A76-B363-CF3070AE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2014-05-01T22:50:00Z</dcterms:created>
  <dcterms:modified xsi:type="dcterms:W3CDTF">2014-05-01T22:50:00Z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